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6E3" w:rsidRPr="00D40DC4" w:rsidRDefault="002026E3" w:rsidP="002026E3">
      <w:pPr>
        <w:pStyle w:val="Cmsor2"/>
        <w:numPr>
          <w:ilvl w:val="0"/>
          <w:numId w:val="0"/>
        </w:numPr>
        <w:ind w:left="567" w:hanging="567"/>
      </w:pPr>
      <w:bookmarkStart w:id="0" w:name="_Toc177825063"/>
      <w:bookmarkStart w:id="1" w:name="_Toc241657538"/>
      <w:bookmarkStart w:id="2" w:name="_Toc228260760"/>
      <w:bookmarkStart w:id="3" w:name="_Ref428192276"/>
      <w:bookmarkStart w:id="4" w:name="_Ref428258456"/>
      <w:bookmarkStart w:id="5" w:name="_Toc436923909"/>
      <w:r w:rsidRPr="00D40DC4">
        <w:t>Pénzügyi fenntarthatóság vizsgálata</w:t>
      </w:r>
      <w:bookmarkEnd w:id="0"/>
      <w:bookmarkEnd w:id="1"/>
      <w:bookmarkEnd w:id="2"/>
      <w:bookmarkEnd w:id="3"/>
      <w:bookmarkEnd w:id="4"/>
      <w:bookmarkEnd w:id="5"/>
    </w:p>
    <w:p w:rsidR="002026E3" w:rsidRPr="00D40DC4" w:rsidRDefault="002026E3" w:rsidP="002026E3">
      <w:pPr>
        <w:rPr>
          <w:rFonts w:cs="Arial"/>
        </w:rPr>
      </w:pPr>
      <w:r w:rsidRPr="00D40DC4">
        <w:rPr>
          <w:rFonts w:cs="Arial"/>
        </w:rPr>
        <w:t>A pénzügyi fenntarthatóság vizsgálat célja a projekt hosszú távú pénzügyi egyensúlyának bemutatása. Az elemzés során kapott eredmények a kedvezményezett szempontjából kötelezettséget jelentenek.</w:t>
      </w:r>
      <w:bookmarkStart w:id="6" w:name="_GoBack"/>
      <w:bookmarkEnd w:id="6"/>
    </w:p>
    <w:p w:rsidR="002026E3" w:rsidRPr="00D40DC4" w:rsidRDefault="002026E3" w:rsidP="002026E3">
      <w:pPr>
        <w:spacing w:after="160" w:line="259" w:lineRule="auto"/>
        <w:jc w:val="left"/>
      </w:pPr>
      <w:r w:rsidRPr="00D40DC4">
        <w:t xml:space="preserve">A pénzügyi fenntarthatóság elemzésének fő szempontjai a következők: 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>A projekt pénzügyi fenntarthatósága úgy igazolható, hogy a halmozott (</w:t>
      </w:r>
      <w:proofErr w:type="spellStart"/>
      <w:r w:rsidRPr="00D40DC4">
        <w:t>diszkontálatlan</w:t>
      </w:r>
      <w:proofErr w:type="spellEnd"/>
      <w:r w:rsidRPr="00D40DC4">
        <w:t xml:space="preserve">) nettó pénzáram éves alapon a teljes vizsgált referencia-időszak során pozitív (vagy nulla); 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 xml:space="preserve">Az ebből a szempontból vizsgált nettó pénzáramok: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tartalmazzák a beruházási költségeket, valamennyi (nemzeti és uniós) pénzügyi erőforrást és bevételt, az üzemeltetési és pótlási költségeket azok kifizetésének időpontjában, a szervezet pénzügyi kötelezettségeinek törlesztését, valamint a tőkehozzájárulásokat, kamatokat és a közvetlen adókat;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nem tartalmazzák az ÁFÁ-t, kivéve, ha az nem visszaigényelhető;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nem tartalmazzák a maradványértéket, kivéve, ha az eszköz az elemzés utolsó vizsgált éve során ténylegesen selejtezésre kerül; 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 xml:space="preserve">Nettó bevételt nem termelő műveletek esetén, illetve ha a jövőben negatív pénzáramok várhatók, be kell mutatni, hogyan tervezik fedezni a költségeket, és a kedvezményezettnek/üzemeltetőnek egyértelmű, hosszú távú kötelezettséget kell vállalnia arra vonatkozóan, hogy más forrásokból megfelelő </w:t>
      </w:r>
      <w:proofErr w:type="gramStart"/>
      <w:r w:rsidRPr="00D40DC4">
        <w:t>finanszírozást</w:t>
      </w:r>
      <w:proofErr w:type="gramEnd"/>
      <w:r w:rsidRPr="00D40DC4">
        <w:t xml:space="preserve"> biztosít a projekt fenntarthatóságának megőrzése érdekében; </w:t>
      </w:r>
    </w:p>
    <w:p w:rsidR="002026E3" w:rsidRPr="00D40DC4" w:rsidRDefault="002026E3" w:rsidP="002026E3">
      <w:pPr>
        <w:numPr>
          <w:ilvl w:val="1"/>
          <w:numId w:val="2"/>
        </w:numPr>
      </w:pPr>
      <w:r w:rsidRPr="00D40DC4">
        <w:t xml:space="preserve">A pénzügyi bevételnek nem számító, a működési költségek </w:t>
      </w:r>
      <w:proofErr w:type="gramStart"/>
      <w:r w:rsidRPr="00D40DC4">
        <w:t>finanszírozását</w:t>
      </w:r>
      <w:proofErr w:type="gramEnd"/>
      <w:r w:rsidRPr="00D40DC4">
        <w:t xml:space="preserve"> szolgáló források az egyéb bejövő pénzáramok között jeleníthetők meg.</w:t>
      </w:r>
    </w:p>
    <w:p w:rsidR="002026E3" w:rsidRPr="00D40DC4" w:rsidRDefault="002026E3" w:rsidP="002026E3">
      <w:pPr>
        <w:numPr>
          <w:ilvl w:val="0"/>
          <w:numId w:val="2"/>
        </w:numPr>
      </w:pPr>
      <w:r w:rsidRPr="00D40DC4">
        <w:t xml:space="preserve">A pénzügyi </w:t>
      </w:r>
      <w:proofErr w:type="spellStart"/>
      <w:r w:rsidRPr="00D40DC4">
        <w:t>fenntarthatóságot</w:t>
      </w:r>
      <w:proofErr w:type="spellEnd"/>
      <w:r w:rsidRPr="00D40DC4">
        <w:t xml:space="preserve"> külön táblázatban be kell mutatni a projektre és/vagy a különbözetre vonatkozóan működési költségmegtakarítás vagy egyéb közvetlen hatások figyelembe vételével és anélkül is (amennyiben a normatív </w:t>
      </w:r>
      <w:proofErr w:type="gramStart"/>
      <w:r w:rsidRPr="00D40DC4">
        <w:t>támogatás csökkentésre</w:t>
      </w:r>
      <w:proofErr w:type="gramEnd"/>
      <w:r w:rsidRPr="00D40DC4">
        <w:t xml:space="preserve"> kerül a működési költség megtakarítás összegével, nem szükséges figyelembe venni a működési költségmegtakarítást a pénzügyi fenntarthatóság számításához).</w:t>
      </w:r>
    </w:p>
    <w:p w:rsidR="002026E3" w:rsidRPr="00D40DC4" w:rsidRDefault="002026E3" w:rsidP="002026E3">
      <w:pPr>
        <w:pStyle w:val="Tblzat"/>
        <w:rPr>
          <w:noProof/>
        </w:rPr>
      </w:pPr>
      <w:r w:rsidRPr="00D40DC4">
        <w:rPr>
          <w:noProof/>
        </w:rPr>
        <w:fldChar w:fldCharType="begin"/>
      </w:r>
      <w:r w:rsidRPr="00D40DC4">
        <w:rPr>
          <w:noProof/>
        </w:rPr>
        <w:instrText xml:space="preserve"> SEQ táblázat \* ARABIC </w:instrText>
      </w:r>
      <w:r w:rsidRPr="00D40DC4">
        <w:rPr>
          <w:noProof/>
        </w:rPr>
        <w:fldChar w:fldCharType="separate"/>
      </w:r>
      <w:bookmarkStart w:id="7" w:name="_Ref428537284"/>
      <w:bookmarkStart w:id="8" w:name="_Toc428557415"/>
      <w:bookmarkStart w:id="9" w:name="_Toc436923962"/>
      <w:r w:rsidRPr="00D40DC4">
        <w:rPr>
          <w:noProof/>
        </w:rPr>
        <w:t>29</w:t>
      </w:r>
      <w:bookmarkEnd w:id="7"/>
      <w:r w:rsidRPr="00D40DC4">
        <w:rPr>
          <w:noProof/>
        </w:rPr>
        <w:fldChar w:fldCharType="end"/>
      </w:r>
      <w:r w:rsidRPr="00D40DC4">
        <w:rPr>
          <w:noProof/>
        </w:rPr>
        <w:t>. táblázat: A projekt pénzügyi fenntarthatóságának vizsgálat (projektes eset és/vagy különbözet, Ft)</w:t>
      </w:r>
      <w:bookmarkEnd w:id="8"/>
      <w:bookmarkEnd w:id="9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1541"/>
        <w:gridCol w:w="1541"/>
        <w:gridCol w:w="355"/>
        <w:gridCol w:w="1541"/>
      </w:tblGrid>
      <w:tr w:rsidR="002026E3" w:rsidRPr="00D40DC4" w:rsidTr="006C34C5">
        <w:trPr>
          <w:trHeight w:val="255"/>
          <w:tblHeader/>
        </w:trPr>
        <w:tc>
          <w:tcPr>
            <w:tcW w:w="2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Megnevezés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1. év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2. év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n. év</w:t>
            </w: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beruházási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működési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Hiteltörlesztés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 xml:space="preserve">Hitel </w:t>
            </w:r>
            <w:proofErr w:type="spellStart"/>
            <w:r w:rsidRPr="00D40DC4">
              <w:t>kamatának</w:t>
            </w:r>
            <w:proofErr w:type="spellEnd"/>
            <w:r w:rsidRPr="00D40DC4">
              <w:t xml:space="preserve"> törlesztése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Egyéb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Kiadási pénzáram 1+2+3+4+5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bevétel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Egyéb bejövő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EU támogatás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Nemzeti hozzájárulás (11+12)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Központi költségvetés hozzájárulása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Saját forrás (13+14)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Önerő (készpénz, munkaerő hozzájárulás)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lastRenderedPageBreak/>
              <w:t>Idegen forrás (15+16)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Hitel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Egyéb idegen forrás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Pénzügyi maradványérték</w:t>
            </w:r>
            <w:r w:rsidRPr="00D40DC4">
              <w:rPr>
                <w:szCs w:val="20"/>
                <w:vertAlign w:val="superscript"/>
              </w:rPr>
              <w:footnoteReference w:id="1"/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Bevételi pénzáram 7+8+9+10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Nettó összes pénzügyi pénzáram 18-6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3"/>
              </w:numPr>
            </w:pPr>
            <w:r w:rsidRPr="00D40DC4">
              <w:t>Nettó halmozott pénzügyi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2026E3" w:rsidRDefault="002026E3" w:rsidP="002026E3"/>
    <w:p w:rsidR="002026E3" w:rsidRPr="00D40DC4" w:rsidRDefault="002026E3" w:rsidP="002026E3">
      <w:r w:rsidRPr="00D40DC4">
        <w:t xml:space="preserve">Ha a projektek már meglévő infrastruktúrához kapcsolódnak (pl. kapacitásbővítési projektek), a rendszerüzemeltető teljes pénzügyi fenntarthatóságát (tehát nem csupán az adott kiterjesztett szegmens </w:t>
      </w:r>
      <w:proofErr w:type="gramStart"/>
      <w:r w:rsidRPr="00D40DC4">
        <w:t>kapacitását</w:t>
      </w:r>
      <w:proofErr w:type="gramEnd"/>
      <w:r w:rsidRPr="00D40DC4">
        <w:t>) felül kell vizsgálni a projekt megvalósítása esetén, el kell végezni a rendszerüzemeltetőre vonatkozó fenntarthatósági elemzést és annak eredményeit a kockázatelemzés során figyelembe kell venni.</w:t>
      </w:r>
    </w:p>
    <w:p w:rsidR="002026E3" w:rsidRPr="00D40DC4" w:rsidRDefault="002026E3" w:rsidP="002026E3">
      <w:r w:rsidRPr="00D40DC4">
        <w:t xml:space="preserve">Adott esetben az üzemeltető szemszögéből végzett elemzést többféleképp is el lehet végezni </w:t>
      </w:r>
      <w:proofErr w:type="spellStart"/>
      <w:r w:rsidRPr="00D40DC4">
        <w:t>módszertanilag</w:t>
      </w:r>
      <w:proofErr w:type="spellEnd"/>
      <w:r w:rsidRPr="00D40DC4">
        <w:t xml:space="preserve"> helyesen. Ez akkor fordul elő, ha az üzemeltető egy nagyobb szervezet kisebb részegysége (pl. egy buszfejlesztés esetén az üzemeltető lehet a szervezetileg elkülönülten működő villamos üzletág, de a teljes vállalat is)</w:t>
      </w:r>
    </w:p>
    <w:p w:rsidR="002026E3" w:rsidRPr="00D40DC4" w:rsidRDefault="002026E3" w:rsidP="002026E3">
      <w:pPr>
        <w:pStyle w:val="Tblzat"/>
        <w:rPr>
          <w:noProof/>
        </w:rPr>
      </w:pPr>
      <w:r w:rsidRPr="00D40DC4">
        <w:rPr>
          <w:noProof/>
        </w:rPr>
        <w:fldChar w:fldCharType="begin"/>
      </w:r>
      <w:r w:rsidRPr="00D40DC4">
        <w:rPr>
          <w:noProof/>
        </w:rPr>
        <w:instrText xml:space="preserve"> SEQ táblázat \* ARABIC </w:instrText>
      </w:r>
      <w:r w:rsidRPr="00D40DC4">
        <w:rPr>
          <w:noProof/>
        </w:rPr>
        <w:fldChar w:fldCharType="separate"/>
      </w:r>
      <w:bookmarkStart w:id="10" w:name="_Ref428537289"/>
      <w:bookmarkStart w:id="11" w:name="_Toc428557416"/>
      <w:bookmarkStart w:id="12" w:name="_Toc436923963"/>
      <w:r w:rsidRPr="00D40DC4">
        <w:rPr>
          <w:noProof/>
        </w:rPr>
        <w:t>30</w:t>
      </w:r>
      <w:bookmarkEnd w:id="10"/>
      <w:r w:rsidRPr="00D40DC4">
        <w:rPr>
          <w:noProof/>
        </w:rPr>
        <w:fldChar w:fldCharType="end"/>
      </w:r>
      <w:r w:rsidRPr="00D40DC4">
        <w:rPr>
          <w:noProof/>
        </w:rPr>
        <w:t>. táblázat: Az üzemeltető pénzügyi fenntarthatóságának vizsgálat (projektes eset, Ft)</w:t>
      </w:r>
      <w:bookmarkEnd w:id="11"/>
      <w:bookmarkEnd w:id="12"/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4"/>
        <w:gridCol w:w="1541"/>
        <w:gridCol w:w="1541"/>
        <w:gridCol w:w="355"/>
        <w:gridCol w:w="1541"/>
      </w:tblGrid>
      <w:tr w:rsidR="002026E3" w:rsidRPr="00D40DC4" w:rsidTr="006C34C5">
        <w:trPr>
          <w:trHeight w:val="255"/>
          <w:tblHeader/>
        </w:trPr>
        <w:tc>
          <w:tcPr>
            <w:tcW w:w="2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Megnevezés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1. év</w:t>
            </w: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2. év</w:t>
            </w: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…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bottom"/>
          </w:tcPr>
          <w:p w:rsidR="002026E3" w:rsidRPr="00D40DC4" w:rsidRDefault="002026E3" w:rsidP="006C34C5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D40DC4">
              <w:rPr>
                <w:rFonts w:cs="Arial"/>
                <w:b/>
                <w:szCs w:val="20"/>
              </w:rPr>
              <w:t>n. év</w:t>
            </w: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Pénzügyi beruházási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Pénzügyi működési költség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Hiteltörlesztés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 xml:space="preserve">Hitel </w:t>
            </w:r>
            <w:proofErr w:type="spellStart"/>
            <w:r w:rsidRPr="00D40DC4">
              <w:t>kamatának</w:t>
            </w:r>
            <w:proofErr w:type="spellEnd"/>
            <w:r w:rsidRPr="00D40DC4">
              <w:t xml:space="preserve"> törlesztése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Egyéb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Kiadási pénzáram 1+2+3+4+5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Pénzügyi bevétel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Egyéb bejövő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EU támogatás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Nemzeti hozzájárulás (11+12)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Központi költségvetés hozzájárulása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Saját forrás (13+14)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Önerő (készpénz, munkaerő hozzájárulás)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Idegen forrás (15+16)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Hitel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Egyéb idegen forrás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Pénzügyi maradványérték</w:t>
            </w:r>
            <w:r w:rsidRPr="00D40DC4">
              <w:rPr>
                <w:szCs w:val="20"/>
                <w:vertAlign w:val="superscript"/>
              </w:rPr>
              <w:footnoteReference w:id="2"/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lastRenderedPageBreak/>
              <w:t>Bevételi pénzáram 7+8+9+10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Nettó összes pénzügyi pénzáram 18-6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szCs w:val="20"/>
              </w:rPr>
            </w:pPr>
          </w:p>
        </w:tc>
      </w:tr>
      <w:tr w:rsidR="002026E3" w:rsidRPr="00D40DC4" w:rsidTr="006C34C5">
        <w:trPr>
          <w:trHeight w:val="255"/>
        </w:trPr>
        <w:tc>
          <w:tcPr>
            <w:tcW w:w="22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2026E3">
            <w:pPr>
              <w:numPr>
                <w:ilvl w:val="0"/>
                <w:numId w:val="4"/>
              </w:numPr>
            </w:pPr>
            <w:r w:rsidRPr="00D40DC4">
              <w:t>Nettó halmozott pénzügyi pénzáram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26E3" w:rsidRPr="00D40DC4" w:rsidRDefault="002026E3" w:rsidP="006C34C5">
            <w:pPr>
              <w:spacing w:after="0"/>
              <w:rPr>
                <w:rFonts w:cs="Arial"/>
                <w:b/>
                <w:szCs w:val="20"/>
              </w:rPr>
            </w:pPr>
          </w:p>
        </w:tc>
      </w:tr>
    </w:tbl>
    <w:p w:rsidR="00DB7B7B" w:rsidRPr="002026E3" w:rsidRDefault="00DB7B7B" w:rsidP="002026E3"/>
    <w:sectPr w:rsidR="00DB7B7B" w:rsidRPr="002026E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651" w:rsidRDefault="009D7651" w:rsidP="002026E3">
      <w:pPr>
        <w:spacing w:after="0"/>
      </w:pPr>
      <w:r>
        <w:separator/>
      </w:r>
    </w:p>
  </w:endnote>
  <w:endnote w:type="continuationSeparator" w:id="0">
    <w:p w:rsidR="009D7651" w:rsidRDefault="009D7651" w:rsidP="002026E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651" w:rsidRDefault="009D7651" w:rsidP="002026E3">
      <w:pPr>
        <w:spacing w:after="0"/>
      </w:pPr>
      <w:r>
        <w:separator/>
      </w:r>
    </w:p>
  </w:footnote>
  <w:footnote w:type="continuationSeparator" w:id="0">
    <w:p w:rsidR="009D7651" w:rsidRDefault="009D7651" w:rsidP="002026E3">
      <w:pPr>
        <w:spacing w:after="0"/>
      </w:pPr>
      <w:r>
        <w:continuationSeparator/>
      </w:r>
    </w:p>
  </w:footnote>
  <w:footnote w:id="1">
    <w:p w:rsidR="002026E3" w:rsidRDefault="002026E3" w:rsidP="002026E3">
      <w:pPr>
        <w:pStyle w:val="Lbjegyzetszveg"/>
      </w:pPr>
      <w:r w:rsidRPr="00E0288A">
        <w:rPr>
          <w:vertAlign w:val="superscript"/>
        </w:rPr>
        <w:footnoteRef/>
      </w:r>
      <w:r w:rsidRPr="00E0288A">
        <w:rPr>
          <w:vertAlign w:val="superscript"/>
        </w:rPr>
        <w:t xml:space="preserve"> </w:t>
      </w:r>
      <w:r>
        <w:t xml:space="preserve">Amennyiben az a vizsgált időszak végén </w:t>
      </w:r>
      <w:proofErr w:type="gramStart"/>
      <w:r>
        <w:t>realizálódik</w:t>
      </w:r>
      <w:proofErr w:type="gramEnd"/>
      <w:r>
        <w:t>.</w:t>
      </w:r>
    </w:p>
  </w:footnote>
  <w:footnote w:id="2">
    <w:p w:rsidR="002026E3" w:rsidRDefault="002026E3" w:rsidP="002026E3">
      <w:pPr>
        <w:pStyle w:val="Lbjegyzetszveg"/>
      </w:pPr>
      <w:r w:rsidRPr="00E0288A">
        <w:rPr>
          <w:vertAlign w:val="superscript"/>
        </w:rPr>
        <w:footnoteRef/>
      </w:r>
      <w:r w:rsidRPr="00E0288A">
        <w:rPr>
          <w:vertAlign w:val="superscript"/>
        </w:rPr>
        <w:t xml:space="preserve"> </w:t>
      </w:r>
      <w:r>
        <w:t xml:space="preserve">Amennyiben az a vizsgált időszak végén </w:t>
      </w:r>
      <w:proofErr w:type="gramStart"/>
      <w:r>
        <w:t>realizálódik</w:t>
      </w:r>
      <w:proofErr w:type="gramEnd"/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CED" w:rsidRDefault="005D4CED" w:rsidP="005D4CED">
    <w:pPr>
      <w:pStyle w:val="lfej"/>
      <w:jc w:val="right"/>
    </w:pPr>
    <w:r>
      <w:rPr>
        <w:noProof/>
        <w:lang w:eastAsia="hu-HU"/>
      </w:rPr>
      <w:drawing>
        <wp:inline distT="0" distB="0" distL="0" distR="0" wp14:anchorId="0BFEBC74" wp14:editId="2B31A541">
          <wp:extent cx="1308735" cy="857885"/>
          <wp:effectExtent l="0" t="0" r="5715" b="0"/>
          <wp:docPr id="4" name="Kép 4">
            <a:extLst xmlns:a="http://schemas.openxmlformats.org/drawingml/2006/main">
              <a:ext uri="{FF2B5EF4-FFF2-40B4-BE49-F238E27FC236}">
                <a16:creationId xmlns:a16="http://schemas.microsoft.com/office/drawing/2014/main" id="{D6A098EA-C310-406C-A6F9-37006F0C4ABA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ép 4">
                    <a:extLst>
                      <a:ext uri="{FF2B5EF4-FFF2-40B4-BE49-F238E27FC236}">
                        <a16:creationId xmlns:a16="http://schemas.microsoft.com/office/drawing/2014/main" id="{D6A098EA-C310-406C-A6F9-37006F0C4ABA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08735" cy="8578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96A0C"/>
    <w:multiLevelType w:val="hybridMultilevel"/>
    <w:tmpl w:val="297001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666B2"/>
    <w:multiLevelType w:val="multilevel"/>
    <w:tmpl w:val="691A7326"/>
    <w:lvl w:ilvl="0">
      <w:start w:val="1"/>
      <w:numFmt w:val="decimal"/>
      <w:pStyle w:val="Cmsor1"/>
      <w:lvlText w:val="%1"/>
      <w:lvlJc w:val="left"/>
      <w:pPr>
        <w:tabs>
          <w:tab w:val="num" w:pos="851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Cmsor2"/>
      <w:lvlText w:val="%1.%2"/>
      <w:lvlJc w:val="left"/>
      <w:pPr>
        <w:tabs>
          <w:tab w:val="num" w:pos="0"/>
        </w:tabs>
        <w:ind w:left="851" w:hanging="851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417"/>
        </w:tabs>
        <w:ind w:left="3827" w:hanging="708"/>
      </w:pPr>
      <w:rPr>
        <w:rFonts w:hint="default"/>
      </w:rPr>
    </w:lvl>
    <w:lvl w:ilvl="5">
      <w:start w:val="1"/>
      <w:numFmt w:val="lowerLetter"/>
      <w:pStyle w:val="Cmsor6"/>
      <w:lvlText w:val="(%6)"/>
      <w:lvlJc w:val="left"/>
      <w:pPr>
        <w:tabs>
          <w:tab w:val="num" w:pos="0"/>
        </w:tabs>
        <w:ind w:left="3118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826" w:hanging="708"/>
      </w:pPr>
      <w:rPr>
        <w:rFonts w:hint="default"/>
      </w:rPr>
    </w:lvl>
    <w:lvl w:ilvl="7">
      <w:start w:val="1"/>
      <w:numFmt w:val="lowerLetter"/>
      <w:pStyle w:val="Cmsor8"/>
      <w:lvlText w:val="(%8)"/>
      <w:lvlJc w:val="left"/>
      <w:pPr>
        <w:tabs>
          <w:tab w:val="num" w:pos="0"/>
        </w:tabs>
        <w:ind w:left="4534" w:hanging="708"/>
      </w:pPr>
      <w:rPr>
        <w:rFonts w:hint="default"/>
      </w:rPr>
    </w:lvl>
    <w:lvl w:ilvl="8">
      <w:start w:val="1"/>
      <w:numFmt w:val="lowerRoman"/>
      <w:pStyle w:val="Cmsor9"/>
      <w:lvlText w:val="(%9)"/>
      <w:lvlJc w:val="left"/>
      <w:pPr>
        <w:tabs>
          <w:tab w:val="num" w:pos="0"/>
        </w:tabs>
        <w:ind w:left="5242" w:hanging="708"/>
      </w:pPr>
      <w:rPr>
        <w:rFonts w:hint="default"/>
      </w:rPr>
    </w:lvl>
  </w:abstractNum>
  <w:abstractNum w:abstractNumId="2" w15:restartNumberingAfterBreak="0">
    <w:nsid w:val="687D5DF0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6ED3C54"/>
    <w:multiLevelType w:val="hybridMultilevel"/>
    <w:tmpl w:val="4FBC68CA"/>
    <w:lvl w:ilvl="0" w:tplc="040E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F401833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6E3"/>
    <w:rsid w:val="002026E3"/>
    <w:rsid w:val="002D30B9"/>
    <w:rsid w:val="005D4CED"/>
    <w:rsid w:val="009D7651"/>
    <w:rsid w:val="00DB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9198"/>
  <w15:chartTrackingRefBased/>
  <w15:docId w15:val="{89D4A2DF-956D-469A-815D-95BCE3AB5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26E3"/>
    <w:pPr>
      <w:spacing w:after="120" w:line="240" w:lineRule="auto"/>
      <w:jc w:val="both"/>
    </w:pPr>
    <w:rPr>
      <w:rFonts w:ascii="Arial" w:hAnsi="Arial"/>
      <w:sz w:val="20"/>
    </w:rPr>
  </w:style>
  <w:style w:type="paragraph" w:styleId="Cmsor1">
    <w:name w:val="heading 1"/>
    <w:aliases w:val="leap1cim,Numbered - 1,H1,left I2,h1,L1,l1,Okean Címsor 1"/>
    <w:basedOn w:val="Norml"/>
    <w:next w:val="Norml"/>
    <w:link w:val="Cmsor1Char"/>
    <w:qFormat/>
    <w:rsid w:val="002026E3"/>
    <w:pPr>
      <w:keepNext/>
      <w:keepLines/>
      <w:pageBreakBefore/>
      <w:numPr>
        <w:numId w:val="5"/>
      </w:numPr>
      <w:tabs>
        <w:tab w:val="clear" w:pos="851"/>
        <w:tab w:val="num" w:pos="426"/>
      </w:tabs>
      <w:suppressAutoHyphens/>
      <w:spacing w:before="2680" w:after="130" w:line="320" w:lineRule="exact"/>
      <w:outlineLvl w:val="0"/>
    </w:pPr>
    <w:rPr>
      <w:rFonts w:eastAsia="Times New Roman" w:cs="Arial"/>
      <w:b/>
      <w:sz w:val="32"/>
      <w:szCs w:val="32"/>
      <w:lang w:eastAsia="hu-HU"/>
    </w:rPr>
  </w:style>
  <w:style w:type="paragraph" w:styleId="Cmsor2">
    <w:name w:val="heading 2"/>
    <w:aliases w:val="második lépcsõ,Fejléc 2,H2,normal left,Bold 14,h2,L2,Okean2,_NFÜ"/>
    <w:basedOn w:val="Cmsor1"/>
    <w:next w:val="Norml"/>
    <w:link w:val="Cmsor2Char"/>
    <w:qFormat/>
    <w:rsid w:val="002026E3"/>
    <w:pPr>
      <w:pageBreakBefore w:val="0"/>
      <w:numPr>
        <w:ilvl w:val="1"/>
      </w:numPr>
      <w:spacing w:before="270" w:after="90" w:line="270" w:lineRule="exact"/>
      <w:ind w:left="567" w:hanging="567"/>
      <w:outlineLvl w:val="1"/>
    </w:pPr>
    <w:rPr>
      <w:sz w:val="28"/>
      <w:szCs w:val="28"/>
      <w:lang w:val="x-none" w:eastAsia="x-none"/>
    </w:rPr>
  </w:style>
  <w:style w:type="paragraph" w:styleId="Cmsor3">
    <w:name w:val="heading 3"/>
    <w:aliases w:val="harmadik lépcsõ,KopCat. 3,H3,left I3,Bold 12,L3,h3,Okean3,NFÜ,Címsor 3 Char1,Címsor 3 Char Char,Okean3 Char Char,NFÜ Char"/>
    <w:basedOn w:val="Cmsor2"/>
    <w:next w:val="Norml"/>
    <w:link w:val="Cmsor3Char"/>
    <w:qFormat/>
    <w:rsid w:val="002026E3"/>
    <w:pPr>
      <w:numPr>
        <w:ilvl w:val="2"/>
      </w:numPr>
      <w:spacing w:after="60"/>
      <w:outlineLvl w:val="2"/>
    </w:pPr>
    <w:rPr>
      <w:sz w:val="24"/>
      <w:szCs w:val="24"/>
    </w:rPr>
  </w:style>
  <w:style w:type="paragraph" w:styleId="Cmsor6">
    <w:name w:val="heading 6"/>
    <w:aliases w:val="h6"/>
    <w:basedOn w:val="Norml"/>
    <w:next w:val="Norml"/>
    <w:link w:val="Cmsor6Char"/>
    <w:qFormat/>
    <w:rsid w:val="002026E3"/>
    <w:pPr>
      <w:numPr>
        <w:ilvl w:val="5"/>
        <w:numId w:val="5"/>
      </w:numPr>
      <w:spacing w:before="240" w:after="60" w:line="270" w:lineRule="atLeast"/>
      <w:outlineLvl w:val="5"/>
    </w:pPr>
    <w:rPr>
      <w:rFonts w:eastAsia="Times New Roman" w:cs="Times New Roman"/>
      <w:i/>
      <w:szCs w:val="20"/>
      <w:lang w:eastAsia="hu-HU"/>
    </w:rPr>
  </w:style>
  <w:style w:type="paragraph" w:styleId="Cmsor8">
    <w:name w:val="heading 8"/>
    <w:basedOn w:val="Norml"/>
    <w:next w:val="Norml"/>
    <w:link w:val="Cmsor8Char"/>
    <w:qFormat/>
    <w:rsid w:val="002026E3"/>
    <w:pPr>
      <w:numPr>
        <w:ilvl w:val="7"/>
        <w:numId w:val="5"/>
      </w:numPr>
      <w:spacing w:before="240" w:after="60" w:line="270" w:lineRule="atLeast"/>
      <w:outlineLvl w:val="7"/>
    </w:pPr>
    <w:rPr>
      <w:rFonts w:eastAsia="Times New Roman" w:cs="Times New Roman"/>
      <w:i/>
      <w:sz w:val="23"/>
      <w:szCs w:val="20"/>
      <w:lang w:eastAsia="hu-HU"/>
    </w:rPr>
  </w:style>
  <w:style w:type="paragraph" w:styleId="Cmsor9">
    <w:name w:val="heading 9"/>
    <w:basedOn w:val="Norml"/>
    <w:next w:val="Norml"/>
    <w:link w:val="Cmsor9Char"/>
    <w:qFormat/>
    <w:rsid w:val="002026E3"/>
    <w:pPr>
      <w:numPr>
        <w:ilvl w:val="8"/>
        <w:numId w:val="5"/>
      </w:numPr>
      <w:spacing w:before="240" w:after="60" w:line="270" w:lineRule="atLeast"/>
      <w:outlineLvl w:val="8"/>
    </w:pPr>
    <w:rPr>
      <w:rFonts w:eastAsia="Times New Roman" w:cs="Times New Roman"/>
      <w:i/>
      <w:sz w:val="18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leap1cim Char,Numbered - 1 Char,H1 Char,left I2 Char,h1 Char,L1 Char,l1 Char,Okean Címsor 1 Char"/>
    <w:basedOn w:val="Bekezdsalapbettpusa"/>
    <w:link w:val="Cmsor1"/>
    <w:rsid w:val="002026E3"/>
    <w:rPr>
      <w:rFonts w:ascii="Arial" w:eastAsia="Times New Roman" w:hAnsi="Arial" w:cs="Arial"/>
      <w:b/>
      <w:sz w:val="32"/>
      <w:szCs w:val="32"/>
      <w:lang w:eastAsia="hu-HU"/>
    </w:rPr>
  </w:style>
  <w:style w:type="character" w:customStyle="1" w:styleId="Cmsor2Char">
    <w:name w:val="Címsor 2 Char"/>
    <w:aliases w:val="második lépcsõ Char,Fejléc 2 Char,H2 Char,normal left Char,Bold 14 Char,h2 Char,L2 Char,Okean2 Char,_NFÜ Char"/>
    <w:basedOn w:val="Bekezdsalapbettpusa"/>
    <w:link w:val="Cmsor2"/>
    <w:rsid w:val="002026E3"/>
    <w:rPr>
      <w:rFonts w:ascii="Arial" w:eastAsia="Times New Roman" w:hAnsi="Arial" w:cs="Arial"/>
      <w:b/>
      <w:sz w:val="28"/>
      <w:szCs w:val="28"/>
      <w:lang w:val="x-none" w:eastAsia="x-none"/>
    </w:rPr>
  </w:style>
  <w:style w:type="character" w:customStyle="1" w:styleId="Cmsor3Char">
    <w:name w:val="Címsor 3 Char"/>
    <w:aliases w:val="harmadik lépcsõ Char,KopCat. 3 Char,H3 Char,left I3 Char,Bold 12 Char,L3 Char,h3 Char,Okean3 Char,NFÜ Char1,Címsor 3 Char1 Char,Címsor 3 Char Char Char,Okean3 Char Char Char,NFÜ Char Char"/>
    <w:basedOn w:val="Bekezdsalapbettpusa"/>
    <w:link w:val="Cmsor3"/>
    <w:rsid w:val="002026E3"/>
    <w:rPr>
      <w:rFonts w:ascii="Arial" w:eastAsia="Times New Roman" w:hAnsi="Arial" w:cs="Arial"/>
      <w:b/>
      <w:sz w:val="24"/>
      <w:szCs w:val="24"/>
      <w:lang w:val="x-none" w:eastAsia="x-none"/>
    </w:rPr>
  </w:style>
  <w:style w:type="character" w:customStyle="1" w:styleId="Cmsor6Char">
    <w:name w:val="Címsor 6 Char"/>
    <w:aliases w:val="h6 Char"/>
    <w:basedOn w:val="Bekezdsalapbettpusa"/>
    <w:link w:val="Cmsor6"/>
    <w:rsid w:val="002026E3"/>
    <w:rPr>
      <w:rFonts w:ascii="Arial" w:eastAsia="Times New Roman" w:hAnsi="Arial" w:cs="Times New Roman"/>
      <w:i/>
      <w:sz w:val="20"/>
      <w:szCs w:val="20"/>
      <w:lang w:eastAsia="hu-HU"/>
    </w:rPr>
  </w:style>
  <w:style w:type="character" w:customStyle="1" w:styleId="Cmsor8Char">
    <w:name w:val="Címsor 8 Char"/>
    <w:basedOn w:val="Bekezdsalapbettpusa"/>
    <w:link w:val="Cmsor8"/>
    <w:rsid w:val="002026E3"/>
    <w:rPr>
      <w:rFonts w:ascii="Arial" w:eastAsia="Times New Roman" w:hAnsi="Arial" w:cs="Times New Roman"/>
      <w:i/>
      <w:sz w:val="23"/>
      <w:szCs w:val="20"/>
      <w:lang w:eastAsia="hu-HU"/>
    </w:rPr>
  </w:style>
  <w:style w:type="character" w:customStyle="1" w:styleId="Cmsor9Char">
    <w:name w:val="Címsor 9 Char"/>
    <w:basedOn w:val="Bekezdsalapbettpusa"/>
    <w:link w:val="Cmsor9"/>
    <w:rsid w:val="002026E3"/>
    <w:rPr>
      <w:rFonts w:ascii="Arial" w:eastAsia="Times New Roman" w:hAnsi="Arial" w:cs="Times New Roman"/>
      <w:i/>
      <w:sz w:val="18"/>
      <w:szCs w:val="20"/>
      <w:lang w:eastAsia="hu-HU"/>
    </w:rPr>
  </w:style>
  <w:style w:type="paragraph" w:styleId="Lbjegyzetszveg">
    <w:name w:val="footnote text"/>
    <w:basedOn w:val="Norml"/>
    <w:link w:val="LbjegyzetszvegChar"/>
    <w:qFormat/>
    <w:rsid w:val="002026E3"/>
    <w:pPr>
      <w:spacing w:after="0" w:line="270" w:lineRule="atLeast"/>
    </w:pPr>
    <w:rPr>
      <w:rFonts w:eastAsia="Times New Roman" w:cs="Times New Roman"/>
      <w:sz w:val="18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rsid w:val="002026E3"/>
    <w:rPr>
      <w:rFonts w:ascii="Arial" w:eastAsia="Times New Roman" w:hAnsi="Arial" w:cs="Times New Roman"/>
      <w:sz w:val="18"/>
      <w:szCs w:val="20"/>
      <w:lang w:eastAsia="hu-HU"/>
    </w:rPr>
  </w:style>
  <w:style w:type="paragraph" w:customStyle="1" w:styleId="Tblzat">
    <w:name w:val="Táblázat"/>
    <w:basedOn w:val="Norml"/>
    <w:rsid w:val="002026E3"/>
    <w:pPr>
      <w:jc w:val="left"/>
    </w:pPr>
    <w:rPr>
      <w:rFonts w:eastAsia="Times New Roman" w:cs="Times New Roman"/>
      <w:i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D4CED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5D4CED"/>
    <w:rPr>
      <w:rFonts w:ascii="Arial" w:hAnsi="Arial"/>
      <w:sz w:val="20"/>
    </w:rPr>
  </w:style>
  <w:style w:type="paragraph" w:styleId="llb">
    <w:name w:val="footer"/>
    <w:basedOn w:val="Norml"/>
    <w:link w:val="llbChar"/>
    <w:uiPriority w:val="99"/>
    <w:unhideWhenUsed/>
    <w:rsid w:val="005D4CED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5D4CE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523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Balazs</dc:creator>
  <cp:keywords/>
  <dc:description/>
  <cp:lastModifiedBy>Balazs</cp:lastModifiedBy>
  <cp:revision>2</cp:revision>
  <dcterms:created xsi:type="dcterms:W3CDTF">2018-03-12T11:26:00Z</dcterms:created>
  <dcterms:modified xsi:type="dcterms:W3CDTF">2018-04-03T11:20:00Z</dcterms:modified>
</cp:coreProperties>
</file>